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F38A">
      <w:pPr>
        <w:spacing w:line="58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</w:p>
    <w:p w14:paraId="77B3D6FB">
      <w:pPr>
        <w:spacing w:line="580" w:lineRule="exact"/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44"/>
          <w:szCs w:val="44"/>
        </w:rPr>
        <w:t>新药申报材料目录要求</w:t>
      </w:r>
    </w:p>
    <w:p w14:paraId="03CEF2D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新药进院申请函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说明申请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理由（依据）、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药品简介、挂网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保情况等，无统一格式，自行拟定］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7F95160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填写《新药申报承诺书》（格式见附件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 w14:paraId="65D62B2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填写《药品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廉洁准入承诺书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FD8635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4、填写《药品质量保证承诺书》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41C8A14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厂家委托申明（详见附件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7E3B3D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6、填写申报药品报价函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 w14:paraId="5427849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申报药品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在四川省医保公共平台“药品和医用耗材招采管理系统(四川省)”上的资料页面截图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4C1944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经国家食品药品监督管理局（CFDA）批准的法定药品说明书；</w:t>
      </w:r>
    </w:p>
    <w:p w14:paraId="26D7767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产品介绍资料、同类产品药理作用和药品不良反应对比评价资料、临床疗效观察资料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临床指南等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与同类产品的有效性和安全性比较的公开发表随机对照试验文献（可选，建议提供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只需打印指南、共识等诊疗规范首页与药品推荐页，无需打印诊疗规范全部页面）</w:t>
      </w:r>
    </w:p>
    <w:p w14:paraId="39D60144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新药申报资料要求：</w:t>
      </w:r>
    </w:p>
    <w:p w14:paraId="64752DD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准确填写申请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并保证真实性，虚报资料将取消该药品生产企业所有新药申报资格。</w:t>
      </w:r>
    </w:p>
    <w:p w14:paraId="72FC46FA">
      <w:pPr>
        <w:spacing w:line="58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新药申报资料必须用A4纸打印，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需有封面及资料目录，内容材料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以上1-9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顺序装订成册，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页码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标示清楚，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封面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盖有申报单位的鲜章。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MzgxYzczMDljMzEyNTRlZjhjMDQyYjk5YTc4NWYifQ=="/>
  </w:docVars>
  <w:rsids>
    <w:rsidRoot w:val="64181848"/>
    <w:rsid w:val="03934474"/>
    <w:rsid w:val="10645539"/>
    <w:rsid w:val="10CF5F63"/>
    <w:rsid w:val="13C7475D"/>
    <w:rsid w:val="5C4C4FF1"/>
    <w:rsid w:val="5EBF66DA"/>
    <w:rsid w:val="61686908"/>
    <w:rsid w:val="64181848"/>
    <w:rsid w:val="64786009"/>
    <w:rsid w:val="783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416</Characters>
  <Lines>0</Lines>
  <Paragraphs>0</Paragraphs>
  <TotalTime>7</TotalTime>
  <ScaleCrop>false</ScaleCrop>
  <LinksUpToDate>false</LinksUpToDate>
  <CharactersWithSpaces>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2022-03-21T01:12:00Z</dcterms:created>
  <dc:creator>寒塘</dc:creator>
  <cp:lastModifiedBy>寒塘</cp:lastModifiedBy>
  <dcterms:modified xsi:type="dcterms:W3CDTF">2026-01-16T01:27:02Z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240C2C806A664AF2B85D2D44F55422D8_13</vt:lpwstr>
  </property>
  <property fmtid="{D5CDD505-2E9C-101B-9397-08002B2CF9AE}" pid="4" name="KSOTemplateDocerSaveRecord">
    <vt:lpwstr>eyJoZGlkIjoiOTlhNjIzMGEyNWYwYzVmZGIyNGUxMzU5ZjJmM2FkZTYiLCJ1c2VySWQiOiI0MTA3MDQ0MDgifQ==</vt:lpwstr>
  </property>
</Properties>
</file>